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百色市田阳区2022年使用幼儿园聘用教师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控制数公开招聘公立幼儿园教师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自愿参加田阳区2022年使用幼儿园聘用教师控制数公开招聘公立幼儿园教师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191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M2VhNzE3MjY0OTEyNDI2OTc3OTFjODgzNTE2YTQifQ=="/>
  </w:docVars>
  <w:rsids>
    <w:rsidRoot w:val="6CFB4DD8"/>
    <w:rsid w:val="132D690C"/>
    <w:rsid w:val="18CE5B37"/>
    <w:rsid w:val="1A7670D8"/>
    <w:rsid w:val="2ACA4BF3"/>
    <w:rsid w:val="3CA3271A"/>
    <w:rsid w:val="6C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490</Characters>
  <Lines>0</Lines>
  <Paragraphs>0</Paragraphs>
  <TotalTime>8</TotalTime>
  <ScaleCrop>false</ScaleCrop>
  <LinksUpToDate>false</LinksUpToDate>
  <CharactersWithSpaces>548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2021-12-27T01:10:00Z</dcterms:created>
  <dc:creator>Administrator</dc:creator>
  <cp:lastModifiedBy>帅能使人富起来</cp:lastModifiedBy>
  <dcterms:modified xsi:type="dcterms:W3CDTF">2022-06-30T07:45:17Z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74E86C9D8002431AA75B3C97713C1174</vt:lpwstr>
  </property>
</Properties>
</file>