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bookmarkStart w:id="0" w:name="_GoBack"/>
      <w:r>
        <w:rPr>
          <w:rFonts w:hint="eastAsia" w:ascii="宋体" w:hAnsi="宋体"/>
          <w:b/>
          <w:sz w:val="48"/>
          <w:szCs w:val="48"/>
        </w:rPr>
        <w:t>报名应提供的材料清单</w:t>
      </w:r>
    </w:p>
    <w:bookmarkEnd w:id="0"/>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11．学校出具并盖章的各学期各科学业成绩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黑体">
    <w:panose1 w:val="02010600030101010101"/>
    <w:charset w:val="86"/>
    <w:family w:val="swiss"/>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2A2711"/>
    <w:rsid w:val="60E40A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wuweihong</cp:lastModifiedBy>
  <dcterms:modified xsi:type="dcterms:W3CDTF">2019-11-28T07:28:57Z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