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520" w:lineRule="atLeast"/>
        <w:ind w:left="0" w:right="0" w:firstLine="562"/>
        <w:jc w:val="left"/>
        <w:rPr>
          <w:rFonts w:ascii="宋体" w:hAnsi="宋体" w:eastAsia="宋体" w:cs="宋体"/>
          <w:b w:val="0"/>
          <w:i w:val="0"/>
          <w:caps w:val="0"/>
          <w:color w:val="000000"/>
          <w:spacing w:val="0"/>
          <w:sz w:val="17"/>
          <w:szCs w:val="17"/>
        </w:rPr>
      </w:pPr>
      <w:r>
        <w:rPr>
          <w:rFonts w:ascii="仿宋" w:hAnsi="仿宋" w:eastAsia="仿宋" w:cs="仿宋"/>
          <w:b/>
          <w:i w:val="0"/>
          <w:caps w:val="0"/>
          <w:color w:val="000000"/>
          <w:spacing w:val="0"/>
          <w:kern w:val="0"/>
          <w:sz w:val="30"/>
          <w:szCs w:val="30"/>
          <w:shd w:val="clear" w:fill="FFFFFF"/>
          <w:lang w:val="en-US" w:eastAsia="zh-CN" w:bidi="ar"/>
        </w:rPr>
        <w:t>招聘岗位和计划</w:t>
      </w:r>
    </w:p>
    <w:p>
      <w:pPr>
        <w:keepNext w:val="0"/>
        <w:keepLines w:val="0"/>
        <w:widowControl/>
        <w:suppressLineNumbers w:val="0"/>
        <w:shd w:val="clear" w:fill="FFFFFF"/>
        <w:spacing w:before="0" w:beforeAutospacing="1" w:after="0" w:afterAutospacing="1" w:line="520" w:lineRule="atLeast"/>
        <w:ind w:left="0" w:right="0" w:firstLine="562"/>
        <w:jc w:val="left"/>
        <w:rPr>
          <w:rFonts w:hint="eastAsia" w:ascii="宋体" w:hAnsi="宋体" w:eastAsia="宋体" w:cs="宋体"/>
          <w:b w:val="0"/>
          <w:i w:val="0"/>
          <w:caps w:val="0"/>
          <w:color w:val="000000"/>
          <w:spacing w:val="0"/>
          <w:sz w:val="17"/>
          <w:szCs w:val="17"/>
        </w:rPr>
      </w:pPr>
      <w:r>
        <w:rPr>
          <w:rFonts w:hint="eastAsia" w:ascii="仿宋" w:hAnsi="仿宋" w:eastAsia="仿宋" w:cs="仿宋"/>
          <w:b w:val="0"/>
          <w:i w:val="0"/>
          <w:caps w:val="0"/>
          <w:color w:val="000000"/>
          <w:spacing w:val="0"/>
          <w:kern w:val="0"/>
          <w:sz w:val="30"/>
          <w:szCs w:val="30"/>
          <w:shd w:val="clear" w:fill="FFFFFF"/>
          <w:lang w:val="en-US" w:eastAsia="zh-CN" w:bidi="ar"/>
        </w:rPr>
        <w:t>本次公开招聘推出岗位13个，计划招聘教师13名。</w:t>
      </w:r>
    </w:p>
    <w:tbl>
      <w:tblPr>
        <w:tblW w:w="87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291"/>
        <w:gridCol w:w="1239"/>
        <w:gridCol w:w="735"/>
        <w:gridCol w:w="1995"/>
        <w:gridCol w:w="851"/>
        <w:gridCol w:w="2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88" w:hRule="atLeast"/>
        </w:trPr>
        <w:tc>
          <w:tcPr>
            <w:tcW w:w="129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仿宋" w:hAnsi="仿宋" w:eastAsia="仿宋" w:cs="仿宋"/>
                <w:b/>
                <w:i w:val="0"/>
                <w:caps w:val="0"/>
                <w:color w:val="000000"/>
                <w:spacing w:val="0"/>
                <w:kern w:val="0"/>
                <w:sz w:val="22"/>
                <w:szCs w:val="22"/>
                <w:lang w:val="en-US" w:eastAsia="zh-CN" w:bidi="ar"/>
              </w:rPr>
              <w:t>招聘单位</w:t>
            </w:r>
          </w:p>
        </w:tc>
        <w:tc>
          <w:tcPr>
            <w:tcW w:w="123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仿宋" w:hAnsi="仿宋" w:eastAsia="仿宋" w:cs="仿宋"/>
                <w:b/>
                <w:i w:val="0"/>
                <w:caps w:val="0"/>
                <w:color w:val="000000"/>
                <w:spacing w:val="0"/>
                <w:kern w:val="0"/>
                <w:sz w:val="22"/>
                <w:szCs w:val="22"/>
                <w:lang w:val="en-US" w:eastAsia="zh-CN" w:bidi="ar"/>
              </w:rPr>
              <w:t>招聘岗位</w:t>
            </w:r>
          </w:p>
        </w:tc>
        <w:tc>
          <w:tcPr>
            <w:tcW w:w="73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仿宋" w:hAnsi="仿宋" w:eastAsia="仿宋" w:cs="仿宋"/>
                <w:b/>
                <w:i w:val="0"/>
                <w:caps w:val="0"/>
                <w:color w:val="000000"/>
                <w:spacing w:val="0"/>
                <w:kern w:val="0"/>
                <w:sz w:val="22"/>
                <w:szCs w:val="22"/>
                <w:lang w:val="en-US" w:eastAsia="zh-CN" w:bidi="ar"/>
              </w:rPr>
              <w:t>招聘人数</w:t>
            </w:r>
          </w:p>
        </w:tc>
        <w:tc>
          <w:tcPr>
            <w:tcW w:w="19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仿宋" w:hAnsi="仿宋" w:eastAsia="仿宋" w:cs="仿宋"/>
                <w:b/>
                <w:i w:val="0"/>
                <w:caps w:val="0"/>
                <w:color w:val="000000"/>
                <w:spacing w:val="0"/>
                <w:kern w:val="0"/>
                <w:sz w:val="22"/>
                <w:szCs w:val="22"/>
                <w:lang w:val="en-US" w:eastAsia="zh-CN" w:bidi="ar"/>
              </w:rPr>
              <w:t>所需专业</w:t>
            </w:r>
          </w:p>
        </w:tc>
        <w:tc>
          <w:tcPr>
            <w:tcW w:w="85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仿宋" w:hAnsi="仿宋" w:eastAsia="仿宋" w:cs="仿宋"/>
                <w:b/>
                <w:i w:val="0"/>
                <w:caps w:val="0"/>
                <w:color w:val="000000"/>
                <w:spacing w:val="0"/>
                <w:kern w:val="0"/>
                <w:sz w:val="22"/>
                <w:szCs w:val="22"/>
                <w:lang w:val="en-US" w:eastAsia="zh-CN" w:bidi="ar"/>
              </w:rPr>
              <w:t>学历/学位</w:t>
            </w:r>
          </w:p>
        </w:tc>
        <w:tc>
          <w:tcPr>
            <w:tcW w:w="25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仿宋" w:hAnsi="仿宋" w:eastAsia="仿宋" w:cs="仿宋"/>
                <w:b/>
                <w:i w:val="0"/>
                <w:caps w:val="0"/>
                <w:color w:val="000000"/>
                <w:spacing w:val="0"/>
                <w:kern w:val="0"/>
                <w:sz w:val="22"/>
                <w:szCs w:val="22"/>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02" w:hRule="atLeast"/>
        </w:trPr>
        <w:tc>
          <w:tcPr>
            <w:tcW w:w="12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仿宋_GB2312" w:hAnsi="宋体" w:eastAsia="仿宋_GB2312" w:cs="仿宋_GB2312"/>
                <w:b w:val="0"/>
                <w:i w:val="0"/>
                <w:caps w:val="0"/>
                <w:color w:val="000000"/>
                <w:spacing w:val="0"/>
                <w:kern w:val="0"/>
                <w:sz w:val="22"/>
                <w:szCs w:val="22"/>
                <w:lang w:val="en-US" w:eastAsia="zh-CN" w:bidi="ar"/>
              </w:rPr>
              <w:t>嘉兴教育学院</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教育科研员</w:t>
            </w:r>
          </w:p>
        </w:tc>
        <w:tc>
          <w:tcPr>
            <w:tcW w:w="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1</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汉语言文学、教育学</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本科及以上</w:t>
            </w:r>
          </w:p>
        </w:tc>
        <w:tc>
          <w:tcPr>
            <w:tcW w:w="2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仿宋_GB2312"/>
                <w:b w:val="0"/>
                <w:i w:val="0"/>
                <w:caps w:val="0"/>
                <w:color w:val="000000"/>
                <w:spacing w:val="0"/>
                <w:kern w:val="0"/>
                <w:sz w:val="22"/>
                <w:szCs w:val="22"/>
                <w:lang w:val="en-US" w:eastAsia="zh-CN" w:bidi="ar"/>
              </w:rPr>
              <w:t>在职教师。具有嘉兴市市级学科带头人及以上荣誉称号，任副校长及以上职务。高级教师职称应聘者，需承诺低聘方可报考。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82" w:hRule="atLeast"/>
        </w:trPr>
        <w:tc>
          <w:tcPr>
            <w:tcW w:w="12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嘉兴教育学院</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特殊教育教研员</w:t>
            </w:r>
          </w:p>
        </w:tc>
        <w:tc>
          <w:tcPr>
            <w:tcW w:w="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1</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教育学</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大专及以上</w:t>
            </w:r>
          </w:p>
        </w:tc>
        <w:tc>
          <w:tcPr>
            <w:tcW w:w="2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仿宋_GB2312"/>
                <w:b w:val="0"/>
                <w:i w:val="0"/>
                <w:caps w:val="0"/>
                <w:color w:val="000000"/>
                <w:spacing w:val="0"/>
                <w:kern w:val="0"/>
                <w:sz w:val="22"/>
                <w:szCs w:val="22"/>
                <w:lang w:val="en-US" w:eastAsia="zh-CN" w:bidi="ar"/>
              </w:rPr>
              <w:t>在职教师。具有5年及以上从事特殊教育经历，获得嘉兴市市级学科带头人及以上荣誉人员。高级教师职称应聘者，需承诺低聘方可报考。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092" w:hRule="atLeast"/>
        </w:trPr>
        <w:tc>
          <w:tcPr>
            <w:tcW w:w="12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嘉兴市教育考试院</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教育管理教师</w:t>
            </w:r>
          </w:p>
        </w:tc>
        <w:tc>
          <w:tcPr>
            <w:tcW w:w="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1</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220"/>
              <w:jc w:val="center"/>
            </w:pPr>
            <w:r>
              <w:rPr>
                <w:rFonts w:hint="default" w:ascii="仿宋_GB2312" w:hAnsi="宋体" w:eastAsia="仿宋_GB2312" w:cs="仿宋_GB2312"/>
                <w:b w:val="0"/>
                <w:i w:val="0"/>
                <w:caps w:val="0"/>
                <w:color w:val="000000"/>
                <w:spacing w:val="0"/>
                <w:kern w:val="0"/>
                <w:sz w:val="22"/>
                <w:szCs w:val="22"/>
                <w:lang w:val="en-US" w:eastAsia="zh-CN" w:bidi="ar"/>
              </w:rPr>
              <w:t>不限</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本科及以上</w:t>
            </w:r>
          </w:p>
        </w:tc>
        <w:tc>
          <w:tcPr>
            <w:tcW w:w="2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具有3年及以上学校中层岗位管理工作经验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6" w:hRule="atLeast"/>
        </w:trPr>
        <w:tc>
          <w:tcPr>
            <w:tcW w:w="12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嘉兴技师学院</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国际商务教师（双语教育）</w:t>
            </w:r>
          </w:p>
        </w:tc>
        <w:tc>
          <w:tcPr>
            <w:tcW w:w="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1</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国际贸易学、国际商务</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研究生/硕士及以上</w:t>
            </w:r>
          </w:p>
        </w:tc>
        <w:tc>
          <w:tcPr>
            <w:tcW w:w="2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能熟练应用日语、英语进行课程双语教育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265" w:hRule="atLeast"/>
        </w:trPr>
        <w:tc>
          <w:tcPr>
            <w:tcW w:w="12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嘉兴技师学院</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创业创新实习指导教师（双语教育）</w:t>
            </w:r>
          </w:p>
        </w:tc>
        <w:tc>
          <w:tcPr>
            <w:tcW w:w="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1</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市场营销、市场营销教育、创业与创新</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本科及以上/学士</w:t>
            </w:r>
          </w:p>
        </w:tc>
        <w:tc>
          <w:tcPr>
            <w:tcW w:w="2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能熟练应用日语、德语或英语进行课程双语教育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0" w:hRule="atLeast"/>
        </w:trPr>
        <w:tc>
          <w:tcPr>
            <w:tcW w:w="12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嘉兴技师学院</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计算机实习指导教师</w:t>
            </w:r>
          </w:p>
        </w:tc>
        <w:tc>
          <w:tcPr>
            <w:tcW w:w="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1</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计算机类</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大专及以上</w:t>
            </w:r>
          </w:p>
        </w:tc>
        <w:tc>
          <w:tcPr>
            <w:tcW w:w="2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具有中级及以上专业技术资格或计算机网络管理员二级及以上职业资格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95" w:hRule="atLeast"/>
        </w:trPr>
        <w:tc>
          <w:tcPr>
            <w:tcW w:w="12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嘉兴技师学院</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人力资源管理实习指导教师</w:t>
            </w:r>
          </w:p>
        </w:tc>
        <w:tc>
          <w:tcPr>
            <w:tcW w:w="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1</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人力资源管理、工商管理</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本科及以上</w:t>
            </w:r>
          </w:p>
        </w:tc>
        <w:tc>
          <w:tcPr>
            <w:tcW w:w="2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具有中级及以上专业技术资格或企业人力资源管理二级及以上职业资格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4" w:hRule="atLeast"/>
        </w:trPr>
        <w:tc>
          <w:tcPr>
            <w:tcW w:w="12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嘉兴技师学院</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烹饪实习指导教师</w:t>
            </w:r>
          </w:p>
        </w:tc>
        <w:tc>
          <w:tcPr>
            <w:tcW w:w="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1</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食品科学与工程、烹饪与营养教育</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本科及以上</w:t>
            </w:r>
          </w:p>
        </w:tc>
        <w:tc>
          <w:tcPr>
            <w:tcW w:w="2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社会（在职）人员报考的须具有助理及以上专业技术资格或中式烹调师二级及以上职业资格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嘉兴技师学院</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烘焙实习指导教师</w:t>
            </w:r>
          </w:p>
        </w:tc>
        <w:tc>
          <w:tcPr>
            <w:tcW w:w="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1</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不限</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大专及以上</w:t>
            </w:r>
          </w:p>
        </w:tc>
        <w:tc>
          <w:tcPr>
            <w:tcW w:w="2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具有烘焙2年及以上工作经历且具有助理及以上专业技术资格或具有西式面点师二级及以上职业资格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70" w:hRule="atLeast"/>
        </w:trPr>
        <w:tc>
          <w:tcPr>
            <w:tcW w:w="12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嘉兴市建筑工业学校</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古建筑修缮与仿建专业实训指导教师</w:t>
            </w:r>
          </w:p>
        </w:tc>
        <w:tc>
          <w:tcPr>
            <w:tcW w:w="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1</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建筑学（古建筑修缮与保护方向）、历史建筑保护工程、土木工程（工业与民用建筑方向）专业</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本科及以上</w:t>
            </w:r>
          </w:p>
        </w:tc>
        <w:tc>
          <w:tcPr>
            <w:tcW w:w="2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72" w:hRule="atLeast"/>
        </w:trPr>
        <w:tc>
          <w:tcPr>
            <w:tcW w:w="12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嘉兴市秀州中学</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高中历史教师</w:t>
            </w:r>
          </w:p>
        </w:tc>
        <w:tc>
          <w:tcPr>
            <w:tcW w:w="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1</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历史学类</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本科及以上/学士</w:t>
            </w:r>
          </w:p>
        </w:tc>
        <w:tc>
          <w:tcPr>
            <w:tcW w:w="2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 </w:t>
            </w:r>
          </w:p>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 </w:t>
            </w:r>
          </w:p>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8" w:hRule="atLeast"/>
        </w:trPr>
        <w:tc>
          <w:tcPr>
            <w:tcW w:w="12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嘉兴市第三中学</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高中技术教师</w:t>
            </w:r>
          </w:p>
        </w:tc>
        <w:tc>
          <w:tcPr>
            <w:tcW w:w="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1</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计算机科学与技术、教育技术学、机电技术教育、应用电子技术教育</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本科及以上/学士</w:t>
            </w:r>
          </w:p>
        </w:tc>
        <w:tc>
          <w:tcPr>
            <w:tcW w:w="2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具备信息技术与通用技术两门课的教学能力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8" w:hRule="atLeast"/>
        </w:trPr>
        <w:tc>
          <w:tcPr>
            <w:tcW w:w="12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嘉兴市第五高级中学</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高中美术教师</w:t>
            </w:r>
          </w:p>
        </w:tc>
        <w:tc>
          <w:tcPr>
            <w:tcW w:w="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1</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美术学类、设计学类</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本科及以上/学士</w:t>
            </w:r>
          </w:p>
        </w:tc>
        <w:tc>
          <w:tcPr>
            <w:tcW w:w="2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2"/>
                <w:szCs w:val="22"/>
                <w:lang w:val="en-US" w:eastAsia="zh-CN" w:bidi="ar"/>
              </w:rPr>
              <w:t>2018年应届毕业生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118BF"/>
    <w:rsid w:val="6D535020"/>
    <w:rsid w:val="7AD11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2018-04-23T11:31:00Z</dcterms:created>
  <dc:creator>ASUS</dc:creator>
  <cp:lastModifiedBy>ASUS</cp:lastModifiedBy>
  <dcterms:modified xsi:type="dcterms:W3CDTF">2018-04-23T11:31:11Z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